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5203" w:dyaOrig="364">
          <v:rect xmlns:o="urn:schemas-microsoft-com:office:office" xmlns:v="urn:schemas-microsoft-com:vml" id="rectole0000000000" style="width:260.150000pt;height:18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object w:dxaOrig="964" w:dyaOrig="1224">
          <v:rect xmlns:o="urn:schemas-microsoft-com:office:office" xmlns:v="urn:schemas-microsoft-com:vml" id="rectole0000000001" style="width:48.200000pt;height:61.2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  <w:t xml:space="preserve">SYLABUS ZAJ</w:t>
      </w:r>
      <w:r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  <w:t xml:space="preserve">ĘĆ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  <w:t xml:space="preserve">Informacje ogólne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30"/>
          <w:position w:val="0"/>
          <w:sz w:val="24"/>
          <w:shd w:fill="auto" w:val="clear"/>
        </w:rPr>
      </w:pPr>
    </w:p>
    <w:tbl>
      <w:tblPr/>
      <w:tblGrid>
        <w:gridCol w:w="4449"/>
        <w:gridCol w:w="4613"/>
      </w:tblGrid>
      <w:tr>
        <w:trPr>
          <w:trHeight w:val="1" w:hRule="atLeast"/>
          <w:jc w:val="center"/>
        </w:trPr>
        <w:tc>
          <w:tcPr>
            <w:tcW w:w="90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Nazwa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ĘĆ:   Epidemiologia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Rodzaj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Obowi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ązkowy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/obieralny (wybrać)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PUM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Wydzia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 Nauk o Zdrowiu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Kierunek studiów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Kosmetologia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Specjalno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ść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n/d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Poziom studiów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jednolite magisterskie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*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 stopnia x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II stopnia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Studia podyplomowe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Forma studiów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niestacjonarne 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Rok studiów /semestr studiów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Rok 2, semestr 3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przypisanych punktów ECTS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Formy prowadzenia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 (liczba godzin)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wyk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łady/seminaria/ 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Sposoby weryfikacji i oceny efektów uczenia 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 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zaliczenie na ocen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ę: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  <w:t xml:space="preserve">opisowe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testowe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  <w:t xml:space="preserve">praktyczne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□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ab/>
              <w:t xml:space="preserve">ustne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27"/>
              </w:numPr>
              <w:spacing w:before="0" w:after="0" w:line="240"/>
              <w:ind w:right="0" w:left="347" w:hanging="36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zaliczenie bez oceny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egzamin ko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ńcowy: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657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opisowy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657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testowy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657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praktyczny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657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ustny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Kierownik jednostki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Profesor B. Karakiewicz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Osoba odpowiedzialna za przedmiot (nauczyciel prowadz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ący)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Dr n. med. Joanna Pierzak-Sominka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Strona internetowa jednostki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https://www.pum.edu.pl/studia_iii_stopnia/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informacje_z_jednostek/wnoz/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katedra_medycyny_spoecznej/</w:t>
            </w:r>
          </w:p>
        </w:tc>
      </w:tr>
      <w:tr>
        <w:trPr>
          <w:trHeight w:val="1" w:hRule="atLeast"/>
          <w:jc w:val="center"/>
        </w:trPr>
        <w:tc>
          <w:tcPr>
            <w:tcW w:w="4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ęzyk prowadzenia zajęć</w:t>
            </w:r>
          </w:p>
        </w:tc>
        <w:tc>
          <w:tcPr>
            <w:tcW w:w="46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4073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polski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/angielski</w:t>
            </w:r>
          </w:p>
        </w:tc>
      </w:tr>
    </w:tbl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28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*zaznaczy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ć odpowiednio, zmieniając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4"/>
          <w:shd w:fill="auto" w:val="clear"/>
        </w:rPr>
        <w:t xml:space="preserve">□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na X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Informacje szczegó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łowe</w:t>
      </w:r>
    </w:p>
    <w:tbl>
      <w:tblPr/>
      <w:tblGrid>
        <w:gridCol w:w="2291"/>
        <w:gridCol w:w="1741"/>
        <w:gridCol w:w="5030"/>
      </w:tblGrid>
      <w:tr>
        <w:trPr>
          <w:trHeight w:val="1" w:hRule="atLeast"/>
          <w:jc w:val="center"/>
        </w:trPr>
        <w:tc>
          <w:tcPr>
            <w:tcW w:w="403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Cele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</w:t>
            </w:r>
          </w:p>
        </w:tc>
        <w:tc>
          <w:tcPr>
            <w:tcW w:w="5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Celem jest zaznajomienie studentów z podstawowymi zagadnieniami wspó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łczesnej epidemiologii, w tym źr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łami informacji o stanie zdrowia populacji oraz analizą występowania chor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ób i zjawisk zdrowotnych. Dodatkowo, omawiane 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powiązania między stylem życia a zdrowiem populacji.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29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Wymagania wst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ępne w zakresie </w:t>
            </w:r>
          </w:p>
        </w:tc>
        <w:tc>
          <w:tcPr>
            <w:tcW w:w="1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Wiedzy</w:t>
            </w:r>
          </w:p>
        </w:tc>
        <w:tc>
          <w:tcPr>
            <w:tcW w:w="5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Posiada zaawansowan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 wiedzę na temat zagrożeń zdrowia publicznego wynikających z jakości środowiska, stylu życia, sposobu odżywiania oraz innych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ryzyka. </w:t>
            </w:r>
          </w:p>
        </w:tc>
      </w:tr>
      <w:tr>
        <w:trPr>
          <w:trHeight w:val="1" w:hRule="atLeast"/>
          <w:jc w:val="center"/>
        </w:trPr>
        <w:tc>
          <w:tcPr>
            <w:tcW w:w="229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Umiej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ętności</w:t>
            </w:r>
          </w:p>
        </w:tc>
        <w:tc>
          <w:tcPr>
            <w:tcW w:w="5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Potrafi definiowa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 i analizować wpływ tych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na stan zdrowia populacji.</w:t>
            </w:r>
          </w:p>
        </w:tc>
      </w:tr>
      <w:tr>
        <w:trPr>
          <w:trHeight w:val="1" w:hRule="atLeast"/>
          <w:jc w:val="center"/>
        </w:trPr>
        <w:tc>
          <w:tcPr>
            <w:tcW w:w="229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Kompetencji 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łecznych</w:t>
            </w:r>
          </w:p>
        </w:tc>
        <w:tc>
          <w:tcPr>
            <w:tcW w:w="50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 zakresie kompetencji 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łecznych, student jest świadomy znaczenia promocji zdrowia oraz profilaktyki chor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ób zwi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ązanych z czynnikami środowiskowymi, stylem życia i odżywianiem. Jest gotowy do wsp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łpracy w działaniach na rzecz poprawy zdrowia publicznego oraz angażuje się w szerzenie prozdrowotnych postaw w społeczeństwie.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582"/>
        <w:gridCol w:w="1897"/>
        <w:gridCol w:w="647"/>
        <w:gridCol w:w="688"/>
        <w:gridCol w:w="967"/>
        <w:gridCol w:w="1385"/>
        <w:gridCol w:w="615"/>
        <w:gridCol w:w="427"/>
        <w:gridCol w:w="734"/>
        <w:gridCol w:w="1004"/>
        <w:gridCol w:w="222"/>
        <w:gridCol w:w="222"/>
        <w:gridCol w:w="222"/>
        <w:gridCol w:w="222"/>
      </w:tblGrid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EFEKTY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lp. efektu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Student, który zaliczy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 ZAJĘCIA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wie/umie/potrafi: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SYMBOL 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(odniesienie do) 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efektów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dla kierunku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Sposób weryfikacji efektów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Ę*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Definiuje zagro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żenia zdrowia związane z jakością środowiska, stylem życia i żywienia.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EK_ZP2_W01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Test, analiza przypadku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wpływ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 i stylu życia na zdrowie populacji.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EK_ZP2_W02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Test, analiza przypadku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Analizuje dane dotycz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ące stanu zdrowia populacji i identyfikuje zagrożenia zdrowotne.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EK_ZP2_U01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Studium przypadku, praca pisemna, dyskusja grupowa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Proponuje strategie prewencyjne w zakresie zdrowia publicznego na podstawie dost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ępnych danych.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EK_ZP2_U02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Studium przypadku, praca pisemna, dyskusja grupowa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Jest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świadomy roli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ryzyka i promuje prozdrowotne postawy w 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łeczeństwie.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EK_ZP2_K01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Obserwacja podczas zaj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ęć, samoocena, ocena aktywności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Wspó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łpracuje w zespole nad projektami związanymi z promocją zdrowia i prewencją chor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ób.</w:t>
            </w:r>
          </w:p>
        </w:tc>
        <w:tc>
          <w:tcPr>
            <w:tcW w:w="3394" w:type="dxa"/>
            <w:gridSpan w:val="4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EK_ZP2_K02</w:t>
            </w:r>
          </w:p>
        </w:tc>
        <w:tc>
          <w:tcPr>
            <w:tcW w:w="2626" w:type="dxa"/>
            <w:gridSpan w:val="6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Ocena pracy zespo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łowej, udział w projektach grupowych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Tabela efektów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w odniesieniu do formy zajęć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vMerge w:val="restart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lp. efektu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</w:t>
            </w:r>
          </w:p>
        </w:tc>
        <w:tc>
          <w:tcPr>
            <w:tcW w:w="3232" w:type="dxa"/>
            <w:gridSpan w:val="3"/>
            <w:vMerge w:val="restart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Efekty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(wiedza, umiejętności, kompetencje społeczne)</w:t>
            </w:r>
          </w:p>
        </w:tc>
        <w:tc>
          <w:tcPr>
            <w:tcW w:w="6020" w:type="dxa"/>
            <w:gridSpan w:val="10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Forma zaj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ęć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vMerge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32" w:type="dxa"/>
            <w:gridSpan w:val="3"/>
            <w:vMerge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Wyk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ład</w:t>
            </w: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Seminarium</w:t>
            </w: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Ćwiczenia</w:t>
            </w: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E-learning</w:t>
            </w: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Definiuje zagro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żenia zdrowia związane z jakością środowiska, stylem życia i żywienia.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4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4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Wyja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śnia wpływ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środowiskowych i stylu życia na zdrowie populacji.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x</w:t>
            </w: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Analizuje dane dotycz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ące stanu zdrowia populacji i identyfikuje zagrożenia zdrowotne.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x</w:t>
            </w: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Proponuje strategie prewencyjne w zakresie zdrowia publicznego na podstawie dost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ępnych danych.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x</w:t>
            </w: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K01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Jest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świadomy roli czynnik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 ryzyka i promuje prozdrowotne postawy w spo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łeczeństwie.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x</w:t>
            </w: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K02</w:t>
            </w:r>
          </w:p>
        </w:tc>
        <w:tc>
          <w:tcPr>
            <w:tcW w:w="3232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Wspó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łpracuje w zespole nad projektami związanymi z promocją zdrowia i prewencją chor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ób.</w:t>
            </w:r>
          </w:p>
        </w:tc>
        <w:tc>
          <w:tcPr>
            <w:tcW w:w="967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5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x</w:t>
            </w:r>
          </w:p>
        </w:tc>
        <w:tc>
          <w:tcPr>
            <w:tcW w:w="1776" w:type="dxa"/>
            <w:gridSpan w:val="3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4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6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6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TABELA TRE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PROGRAMOWYCH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Lp. tre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programowej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Tre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ści programowe</w:t>
            </w: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godzin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Odniesienie do efektów uczenia 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ę dla ZAJĘĆ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Semestr pierwszy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łady:</w:t>
            </w: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TK_01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Wprowadzenie do epidemiologii: podstawowe poj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ęcia i znaczenie.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W01, W02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TK_02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Czynniki ryzyka zdrowotnego: wp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ływ środowiska, stylu życia, odżywiania.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W01, W02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Ćwiczenia:</w:t>
            </w: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TK_03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Analiza przypadków dotycz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ących chor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ób zwi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ązanych z czynnikami środowiskowymi.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U01, U02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TK_04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Opracowanie strategii prewencyjnych w zakresie zdrowia publicznego.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U02, K02</w:t>
            </w: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E-learning</w:t>
            </w: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5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TK_05</w:t>
            </w:r>
          </w:p>
        </w:tc>
        <w:tc>
          <w:tcPr>
            <w:tcW w:w="18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Analiza danych epidemiologicznych z baz publicznych i literatury.</w:t>
            </w:r>
          </w:p>
        </w:tc>
        <w:tc>
          <w:tcPr>
            <w:tcW w:w="3053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U01, K02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Zalecana literatura: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Literatura podstawowa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ędrychowski W., Epidemiologia w medycynie klinicznej i zdrowiu publicznym, Krak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ów, Wydawnictwo Uniwersytetu Jagiello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ńskiego, 2010.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Brzezi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ński Z. J., Szamotulska K., Epidemiologia kliniczna, wyd. 1, Warszawa, PZWL Wydawnictwo Lekarskie, 1997.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Literatura uzupe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łniająca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Sytuacja zdrowotna ludno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ści Polski i jej uwarunkowania, red. B. Wojtyniak, P. Goryński, B. Moskalewicz, Warszawa, NIZP-PZH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Leksykon epidemiologiczny. W 90-lecie PZH, red. J. Bzd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ęga, W. Magdzik, D. Naruszewicz- -Lesiuk, A. Zieliński, wyd. 1, Bielsko-Biała, Alfa-Medica Press, 2008.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ład pracy studenta  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Forma nak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ładu pracy studenta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(udzia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w zajęciach, aktywność, przygotowanie sprawozdania, itp.)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Obci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ążenie studenta [h]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 ocenie (opinii) nauczyciela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Godziny kontaktowe z nauczycielem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Przygotowanie do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ćwiczeń/seminarium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Czytanie wskazanej literatury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Napisanie raportu z laboratorium/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ćwiczeń/przygotowanie projektu/referatu itp.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Przygotowanie do kolokwium/kartkówki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Przygotowanie do zaliczenia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Inne (np. udzia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 w konsultacjach, e-learning, dodatkowe aktywności)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Sumaryczne obci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ążenie pracy studenta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</w:tr>
      <w:tr>
        <w:trPr>
          <w:trHeight w:val="1" w:hRule="atLeast"/>
          <w:jc w:val="center"/>
        </w:trPr>
        <w:tc>
          <w:tcPr>
            <w:tcW w:w="412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Punkty ECTS za modu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ł/przedmiot</w:t>
            </w:r>
          </w:p>
        </w:tc>
        <w:tc>
          <w:tcPr>
            <w:tcW w:w="6708" w:type="dxa"/>
            <w:gridSpan w:val="11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Uwagi</w:t>
            </w:r>
          </w:p>
        </w:tc>
      </w:tr>
      <w:tr>
        <w:trPr>
          <w:trHeight w:val="1" w:hRule="atLeast"/>
          <w:jc w:val="center"/>
        </w:trPr>
        <w:tc>
          <w:tcPr>
            <w:tcW w:w="10834" w:type="dxa"/>
            <w:gridSpan w:val="1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*Przyk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ładowe sposoby weryfikacji efekt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kszta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łcenia: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egzamin pisemny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EU - egzamin ustny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egzamin testowy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EPR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egzamin praktyczny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kolokwium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referat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sprawdzenie umiej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ętności praktycznych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raport 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ćwiczeń z dyskusją wynik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 - ocena aktywno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i postawy studenta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SL - sprawozdanie laboratoryjne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SP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studium przypadku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PS - ocena umiej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ętności pracy samodzielnej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kartk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ówka przed rozpocz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ęciem zajęć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prezentacja multimedialna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inne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7">
    <w:abstractNumId w:val="6"/>
  </w:num>
  <w:num w:numId="2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numbering.xml" Id="docRId5" Type="http://schemas.openxmlformats.org/officeDocument/2006/relationships/numbering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Mode="External" Target="https://www.pum.edu.pl/studia_iii_stopnia/" Id="docRId4" Type="http://schemas.openxmlformats.org/officeDocument/2006/relationships/hyperlink" /><Relationship Target="styles.xml" Id="docRId6" Type="http://schemas.openxmlformats.org/officeDocument/2006/relationships/styles" /></Relationships>
</file>